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C9B9" w14:textId="6A939A27" w:rsidR="00722F5D" w:rsidRDefault="00722F5D" w:rsidP="00722F5D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en-GB"/>
        </w:rPr>
      </w:pPr>
      <w:r>
        <w:rPr>
          <w:rFonts w:eastAsia="Times New Roman" w:cs="Times New Roman"/>
          <w:b/>
          <w:bCs/>
          <w:u w:val="single"/>
          <w:lang w:eastAsia="en-GB"/>
        </w:rPr>
        <w:t>Senior Private Client</w:t>
      </w:r>
      <w:r w:rsidRPr="00C21913">
        <w:rPr>
          <w:rFonts w:eastAsia="Times New Roman" w:cs="Times New Roman"/>
          <w:b/>
          <w:bCs/>
          <w:u w:val="single"/>
          <w:lang w:eastAsia="en-GB"/>
        </w:rPr>
        <w:t xml:space="preserve"> Solicitor</w:t>
      </w:r>
    </w:p>
    <w:p w14:paraId="5D67EE5E" w14:textId="4DD0B58F" w:rsidR="006D239D" w:rsidRPr="00F9709B" w:rsidRDefault="0086713D" w:rsidP="00F9709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="Times New Roman"/>
          <w:lang w:eastAsia="en-GB"/>
        </w:rPr>
        <w:t xml:space="preserve">Powell Eddison </w:t>
      </w:r>
      <w:proofErr w:type="spellStart"/>
      <w:r>
        <w:rPr>
          <w:rFonts w:eastAsia="Times New Roman" w:cs="Times New Roman"/>
          <w:lang w:eastAsia="en-GB"/>
        </w:rPr>
        <w:t>Feeman</w:t>
      </w:r>
      <w:proofErr w:type="spellEnd"/>
      <w:r>
        <w:rPr>
          <w:rFonts w:eastAsia="Times New Roman" w:cs="Times New Roman"/>
          <w:lang w:eastAsia="en-GB"/>
        </w:rPr>
        <w:t xml:space="preserve"> &amp; </w:t>
      </w:r>
      <w:r w:rsidRPr="001C74B3">
        <w:rPr>
          <w:rFonts w:eastAsia="Times New Roman" w:cstheme="minorHAnsi"/>
          <w:lang w:eastAsia="en-GB"/>
        </w:rPr>
        <w:t>Wilks</w:t>
      </w:r>
      <w:r w:rsidR="006D239D" w:rsidRPr="001C74B3">
        <w:rPr>
          <w:rFonts w:eastAsia="Times New Roman" w:cstheme="minorHAnsi"/>
          <w:lang w:eastAsia="en-GB"/>
        </w:rPr>
        <w:t xml:space="preserve"> Solicitors is a full service law firm</w:t>
      </w:r>
      <w:r w:rsidR="00EE1FCA" w:rsidRPr="001C74B3">
        <w:rPr>
          <w:rFonts w:eastAsia="Times New Roman" w:cstheme="minorHAnsi"/>
          <w:lang w:eastAsia="en-GB"/>
        </w:rPr>
        <w:t xml:space="preserve"> based in </w:t>
      </w:r>
      <w:r w:rsidRPr="001C74B3">
        <w:rPr>
          <w:rFonts w:eastAsia="Times New Roman" w:cstheme="minorHAnsi"/>
          <w:lang w:eastAsia="en-GB"/>
        </w:rPr>
        <w:t>Harrogat</w:t>
      </w:r>
      <w:r w:rsidR="0007538B" w:rsidRPr="001C74B3">
        <w:rPr>
          <w:rFonts w:eastAsia="Times New Roman" w:cstheme="minorHAnsi"/>
          <w:lang w:eastAsia="en-GB"/>
        </w:rPr>
        <w:t xml:space="preserve">e. </w:t>
      </w:r>
      <w:r w:rsidR="001C74B3" w:rsidRPr="001C74B3">
        <w:rPr>
          <w:rFonts w:eastAsia="Times New Roman" w:cstheme="minorHAnsi"/>
          <w:color w:val="000000"/>
          <w:lang w:val="en-US"/>
        </w:rPr>
        <w:t> </w:t>
      </w:r>
      <w:r w:rsidR="0007538B" w:rsidRPr="001C74B3">
        <w:rPr>
          <w:rFonts w:eastAsia="Times New Roman" w:cstheme="minorHAnsi"/>
          <w:lang w:eastAsia="en-GB"/>
        </w:rPr>
        <w:t xml:space="preserve">With our Head Office based in North Leeds, there are a total of </w:t>
      </w:r>
      <w:r w:rsidR="001C74B3" w:rsidRPr="001C74B3">
        <w:rPr>
          <w:rFonts w:eastAsia="Times New Roman" w:cstheme="minorHAnsi"/>
          <w:lang w:eastAsia="en-GB"/>
        </w:rPr>
        <w:t>22</w:t>
      </w:r>
      <w:r w:rsidR="0007538B" w:rsidRPr="001C74B3">
        <w:rPr>
          <w:rFonts w:eastAsia="Times New Roman" w:cstheme="minorHAnsi"/>
          <w:lang w:eastAsia="en-GB"/>
        </w:rPr>
        <w:t xml:space="preserve"> members of staff across both offices, with further expansion plans in 202</w:t>
      </w:r>
      <w:r w:rsidR="00E577E9" w:rsidRPr="001C74B3">
        <w:rPr>
          <w:rFonts w:eastAsia="Times New Roman" w:cstheme="minorHAnsi"/>
          <w:lang w:eastAsia="en-GB"/>
        </w:rPr>
        <w:t>2</w:t>
      </w:r>
      <w:r w:rsidR="0007538B" w:rsidRPr="001C74B3">
        <w:rPr>
          <w:rFonts w:eastAsia="Times New Roman" w:cstheme="minorHAnsi"/>
          <w:lang w:eastAsia="en-GB"/>
        </w:rPr>
        <w:t xml:space="preserve">. </w:t>
      </w:r>
      <w:r w:rsidR="006D239D" w:rsidRPr="001C74B3">
        <w:rPr>
          <w:rFonts w:eastAsia="Times New Roman" w:cstheme="minorHAnsi"/>
          <w:lang w:eastAsia="en-GB"/>
        </w:rPr>
        <w:t>The firm is a thriving and expanding law practice committed to serving individuals and businesses with an enviable client base</w:t>
      </w:r>
      <w:r w:rsidR="006D239D" w:rsidRPr="006D239D">
        <w:rPr>
          <w:rFonts w:eastAsia="Times New Roman" w:cs="Times New Roman"/>
          <w:lang w:eastAsia="en-GB"/>
        </w:rPr>
        <w:t>.</w:t>
      </w:r>
    </w:p>
    <w:p w14:paraId="5D67EE5F" w14:textId="4844C025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We are looking for an experienced </w:t>
      </w:r>
      <w:r w:rsidR="0086713D">
        <w:rPr>
          <w:rFonts w:eastAsia="Times New Roman" w:cs="Times New Roman"/>
          <w:lang w:eastAsia="en-GB"/>
        </w:rPr>
        <w:t xml:space="preserve">Wills and Probate solicitor </w:t>
      </w:r>
      <w:r w:rsidR="00EE1FCA">
        <w:rPr>
          <w:rFonts w:eastAsia="Times New Roman" w:cs="Times New Roman"/>
          <w:lang w:eastAsia="en-GB"/>
        </w:rPr>
        <w:t>to join our Team</w:t>
      </w:r>
      <w:r w:rsidRPr="006D239D">
        <w:rPr>
          <w:rFonts w:eastAsia="Times New Roman" w:cs="Times New Roman"/>
          <w:lang w:eastAsia="en-GB"/>
        </w:rPr>
        <w:t>.</w:t>
      </w:r>
    </w:p>
    <w:p w14:paraId="5D67EE60" w14:textId="77777777" w:rsidR="006D239D" w:rsidRDefault="006D239D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The Role</w:t>
      </w:r>
    </w:p>
    <w:p w14:paraId="5D67EE61" w14:textId="6C22E6A8" w:rsidR="005837BF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As a </w:t>
      </w:r>
      <w:r w:rsidR="000D7B17">
        <w:rPr>
          <w:rFonts w:eastAsia="Times New Roman" w:cs="Times New Roman"/>
          <w:lang w:eastAsia="en-GB"/>
        </w:rPr>
        <w:t>Private Client</w:t>
      </w:r>
      <w:r w:rsidRPr="006D239D">
        <w:rPr>
          <w:rFonts w:eastAsia="Times New Roman" w:cs="Times New Roman"/>
          <w:lang w:eastAsia="en-GB"/>
        </w:rPr>
        <w:t xml:space="preserve"> Fee Earner you will handle a varied caseload whilst providing clients with high quality advice. You will be responsible for but not limited to the following </w:t>
      </w:r>
      <w:proofErr w:type="gramStart"/>
      <w:r w:rsidR="004C32F5">
        <w:rPr>
          <w:rFonts w:eastAsia="Times New Roman" w:cs="Times New Roman"/>
          <w:lang w:eastAsia="en-GB"/>
        </w:rPr>
        <w:t>matters</w:t>
      </w:r>
      <w:r w:rsidRPr="006D239D">
        <w:rPr>
          <w:rFonts w:eastAsia="Times New Roman" w:cs="Times New Roman"/>
          <w:lang w:eastAsia="en-GB"/>
        </w:rPr>
        <w:t>;</w:t>
      </w:r>
      <w:proofErr w:type="gramEnd"/>
    </w:p>
    <w:p w14:paraId="69263F3E" w14:textId="0A3870BC" w:rsidR="004C32F5" w:rsidRP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 w:rsidRPr="004C32F5">
        <w:rPr>
          <w:rFonts w:eastAsia="Times New Roman" w:cs="Times New Roman"/>
          <w:bCs/>
          <w:lang w:eastAsia="en-GB"/>
        </w:rPr>
        <w:t>Wills and estate planning matters</w:t>
      </w:r>
    </w:p>
    <w:p w14:paraId="051C71B7" w14:textId="3A9604BB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 w:rsidRPr="004C32F5">
        <w:rPr>
          <w:rFonts w:eastAsia="Times New Roman" w:cs="Times New Roman"/>
          <w:bCs/>
          <w:lang w:eastAsia="en-GB"/>
        </w:rPr>
        <w:t xml:space="preserve">Lasting Powers of Attorney </w:t>
      </w:r>
      <w:r>
        <w:rPr>
          <w:rFonts w:eastAsia="Times New Roman" w:cs="Times New Roman"/>
          <w:bCs/>
          <w:lang w:eastAsia="en-GB"/>
        </w:rPr>
        <w:t>and registration</w:t>
      </w:r>
    </w:p>
    <w:p w14:paraId="28405845" w14:textId="67413212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Advising on, and drafting both inter </w:t>
      </w:r>
      <w:proofErr w:type="spellStart"/>
      <w:r>
        <w:rPr>
          <w:rFonts w:eastAsia="Times New Roman" w:cs="Times New Roman"/>
          <w:bCs/>
          <w:lang w:eastAsia="en-GB"/>
        </w:rPr>
        <w:t>vivos</w:t>
      </w:r>
      <w:proofErr w:type="spellEnd"/>
      <w:r>
        <w:rPr>
          <w:rFonts w:eastAsia="Times New Roman" w:cs="Times New Roman"/>
          <w:bCs/>
          <w:lang w:eastAsia="en-GB"/>
        </w:rPr>
        <w:t xml:space="preserve"> and Will trusts and associated documentation</w:t>
      </w:r>
    </w:p>
    <w:p w14:paraId="71568F37" w14:textId="09462CC4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Probate matters </w:t>
      </w:r>
    </w:p>
    <w:p w14:paraId="64300888" w14:textId="4D8225F4" w:rsid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Court of Protection matters</w:t>
      </w:r>
    </w:p>
    <w:p w14:paraId="46E28A1D" w14:textId="54AC5611" w:rsidR="004C32F5" w:rsidRPr="004C32F5" w:rsidRDefault="004C32F5" w:rsidP="004C32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Limited property work to include DJPs, SEV when connected to private client cases</w:t>
      </w:r>
    </w:p>
    <w:p w14:paraId="5D67EE65" w14:textId="754CD443" w:rsid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b/>
          <w:lang w:eastAsia="en-GB"/>
        </w:rPr>
        <w:t>Candidate</w:t>
      </w:r>
    </w:p>
    <w:p w14:paraId="5D67EE66" w14:textId="24E312BB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You will be an experienced </w:t>
      </w:r>
      <w:r w:rsidR="000D7B17">
        <w:rPr>
          <w:rFonts w:eastAsia="Times New Roman" w:cs="Times New Roman"/>
          <w:lang w:eastAsia="en-GB"/>
        </w:rPr>
        <w:t>Private Client</w:t>
      </w:r>
      <w:r w:rsidRPr="006D239D">
        <w:rPr>
          <w:rFonts w:eastAsia="Times New Roman" w:cs="Times New Roman"/>
          <w:lang w:eastAsia="en-GB"/>
        </w:rPr>
        <w:t xml:space="preserve"> Solicitor and will have managed a caseload of you</w:t>
      </w:r>
      <w:r w:rsidR="006D239D" w:rsidRPr="006D239D">
        <w:rPr>
          <w:rFonts w:eastAsia="Times New Roman" w:cs="Times New Roman"/>
          <w:lang w:eastAsia="en-GB"/>
        </w:rPr>
        <w:t>r</w:t>
      </w:r>
      <w:r w:rsidRPr="006D239D">
        <w:rPr>
          <w:rFonts w:eastAsia="Times New Roman" w:cs="Times New Roman"/>
          <w:lang w:eastAsia="en-GB"/>
        </w:rPr>
        <w:t xml:space="preserve"> own. You will have excellent attention to detail </w:t>
      </w:r>
      <w:r w:rsidR="006D239D">
        <w:rPr>
          <w:rFonts w:eastAsia="Times New Roman" w:cs="Times New Roman"/>
          <w:lang w:eastAsia="en-GB"/>
        </w:rPr>
        <w:t>and</w:t>
      </w:r>
      <w:r w:rsidRPr="006D239D">
        <w:rPr>
          <w:rFonts w:eastAsia="Times New Roman" w:cs="Times New Roman"/>
          <w:lang w:eastAsia="en-GB"/>
        </w:rPr>
        <w:t xml:space="preserve"> excellent communication skills. You will be expected to take an active role in Networking and business development to generate new clients</w:t>
      </w:r>
      <w:r w:rsidR="00097A7F">
        <w:rPr>
          <w:rFonts w:eastAsia="Times New Roman" w:cs="Times New Roman"/>
          <w:lang w:eastAsia="en-GB"/>
        </w:rPr>
        <w:t>, build successful relationships with refer</w:t>
      </w:r>
      <w:r w:rsidR="004C32F5">
        <w:rPr>
          <w:rFonts w:eastAsia="Times New Roman" w:cs="Times New Roman"/>
          <w:lang w:eastAsia="en-GB"/>
        </w:rPr>
        <w:t>rers</w:t>
      </w:r>
      <w:r w:rsidR="00097A7F">
        <w:rPr>
          <w:rFonts w:eastAsia="Times New Roman" w:cs="Times New Roman"/>
          <w:lang w:eastAsia="en-GB"/>
        </w:rPr>
        <w:t xml:space="preserve"> of work, </w:t>
      </w:r>
      <w:r w:rsidRPr="006D239D">
        <w:rPr>
          <w:rFonts w:eastAsia="Times New Roman" w:cs="Times New Roman"/>
          <w:lang w:eastAsia="en-GB"/>
        </w:rPr>
        <w:t>as well as maintaining current relationships</w:t>
      </w:r>
      <w:r w:rsidR="006D239D">
        <w:rPr>
          <w:rFonts w:eastAsia="Times New Roman" w:cs="Times New Roman"/>
          <w:lang w:eastAsia="en-GB"/>
        </w:rPr>
        <w:t>.</w:t>
      </w:r>
    </w:p>
    <w:p w14:paraId="5D67EE67" w14:textId="77777777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b/>
          <w:bCs/>
          <w:lang w:eastAsia="en-GB"/>
        </w:rPr>
        <w:t>Skills and Responsibilities</w:t>
      </w:r>
    </w:p>
    <w:p w14:paraId="5D67EE68" w14:textId="77777777" w:rsidR="005837BF" w:rsidRPr="006D239D" w:rsidRDefault="005837BF" w:rsidP="006E6D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The ideal candidate will have:</w:t>
      </w:r>
    </w:p>
    <w:p w14:paraId="5D67EE69" w14:textId="1DC60A34" w:rsidR="005837BF" w:rsidRDefault="00722F5D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5 </w:t>
      </w:r>
      <w:r w:rsidR="005837BF" w:rsidRPr="006D239D">
        <w:rPr>
          <w:rFonts w:eastAsia="Times New Roman" w:cs="Times New Roman"/>
          <w:lang w:eastAsia="en-GB"/>
        </w:rPr>
        <w:t>years</w:t>
      </w:r>
      <w:r w:rsidR="002551A4">
        <w:rPr>
          <w:rFonts w:eastAsia="Times New Roman" w:cs="Times New Roman"/>
          <w:lang w:eastAsia="en-GB"/>
        </w:rPr>
        <w:t xml:space="preserve"> + PQE</w:t>
      </w:r>
    </w:p>
    <w:p w14:paraId="5D29D423" w14:textId="4F7A371B" w:rsidR="000D7B17" w:rsidRDefault="00097A7F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STEP membership</w:t>
      </w:r>
      <w:r w:rsidR="00E577E9">
        <w:rPr>
          <w:rFonts w:eastAsia="Times New Roman" w:cs="Times New Roman"/>
          <w:lang w:eastAsia="en-GB"/>
        </w:rPr>
        <w:t xml:space="preserve"> (preferable but not essential) </w:t>
      </w:r>
    </w:p>
    <w:p w14:paraId="571FD65D" w14:textId="273A73FF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Provide excellent service to a wide range of clients with an ability to maintain relationships</w:t>
      </w:r>
    </w:p>
    <w:p w14:paraId="5E4F4483" w14:textId="6F61FDE6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Be able to deal with complex matters which may involve deadlines such as deeds of variation, trust work, complex taxable estates etc.</w:t>
      </w:r>
    </w:p>
    <w:p w14:paraId="1D56652E" w14:textId="0FD5E026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Be able to manage their own caseload with supervision from head of department and be able to prioritise accordingly</w:t>
      </w:r>
    </w:p>
    <w:p w14:paraId="1B04CDD3" w14:textId="03C12105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 of dealing with probate matters from start to finish</w:t>
      </w:r>
    </w:p>
    <w:p w14:paraId="49B449B5" w14:textId="13DEEC80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 of using case management systems such as Isokon or proclaim</w:t>
      </w:r>
    </w:p>
    <w:p w14:paraId="6A23A83D" w14:textId="017C31B0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An ability to undertake research tasks independently </w:t>
      </w:r>
    </w:p>
    <w:p w14:paraId="148ADC4C" w14:textId="23C125A8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An ability to type where required and familiarity with all Microsoft programs</w:t>
      </w:r>
    </w:p>
    <w:p w14:paraId="43CE7313" w14:textId="1D525C3E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Understanding of Will drafting and pitfalls</w:t>
      </w:r>
    </w:p>
    <w:p w14:paraId="7BA97B02" w14:textId="7F90A45E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Understanding of LPA drafting and registration as well as experience dealing with EPAs</w:t>
      </w:r>
    </w:p>
    <w:p w14:paraId="6AFEB1C4" w14:textId="6D09EDCE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Ability to undertake a Court of Protection case file from start to finish</w:t>
      </w:r>
    </w:p>
    <w:p w14:paraId="30F4EBFA" w14:textId="625F4526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Ability to provide inheritance tax advice as applied to a set of facts</w:t>
      </w:r>
    </w:p>
    <w:p w14:paraId="7BECAF26" w14:textId="34763773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Understanding of APR given the location of the role </w:t>
      </w:r>
    </w:p>
    <w:p w14:paraId="3639FE2F" w14:textId="6F109BD4" w:rsidR="004C32F5" w:rsidRDefault="004C32F5" w:rsidP="006E6D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Ability to draft inter </w:t>
      </w:r>
      <w:proofErr w:type="spellStart"/>
      <w:r>
        <w:rPr>
          <w:rFonts w:eastAsia="Times New Roman" w:cs="Times New Roman"/>
          <w:lang w:eastAsia="en-GB"/>
        </w:rPr>
        <w:t>vivos</w:t>
      </w:r>
      <w:proofErr w:type="spellEnd"/>
      <w:r>
        <w:rPr>
          <w:rFonts w:eastAsia="Times New Roman" w:cs="Times New Roman"/>
          <w:lang w:eastAsia="en-GB"/>
        </w:rPr>
        <w:t xml:space="preserve"> trusts in line with client requirements and provide limited advice regarding the taxation and registration of said trusts.</w:t>
      </w:r>
    </w:p>
    <w:p w14:paraId="29DF7EFB" w14:textId="34229D12" w:rsidR="00EE1FCA" w:rsidRPr="007A491E" w:rsidRDefault="006D239D" w:rsidP="006E6D8A">
      <w:pPr>
        <w:jc w:val="both"/>
        <w:rPr>
          <w:rFonts w:cs="Arial"/>
        </w:rPr>
      </w:pPr>
      <w:r w:rsidRPr="007A491E">
        <w:rPr>
          <w:rFonts w:cs="Arial"/>
        </w:rPr>
        <w:t>We have a varied client base which</w:t>
      </w:r>
      <w:r w:rsidR="00CA1C92" w:rsidRPr="007A491E">
        <w:rPr>
          <w:rFonts w:cs="Arial"/>
        </w:rPr>
        <w:t xml:space="preserve"> includes </w:t>
      </w:r>
      <w:r w:rsidR="007A491E" w:rsidRPr="007A491E">
        <w:rPr>
          <w:rFonts w:cs="Arial"/>
        </w:rPr>
        <w:t xml:space="preserve">local and high net-worth individuals and large Probate </w:t>
      </w:r>
      <w:r w:rsidR="007A491E">
        <w:rPr>
          <w:rFonts w:cs="Arial"/>
        </w:rPr>
        <w:t>E</w:t>
      </w:r>
      <w:r w:rsidR="007A491E" w:rsidRPr="007A491E">
        <w:rPr>
          <w:rFonts w:cs="Arial"/>
        </w:rPr>
        <w:t xml:space="preserve">states </w:t>
      </w:r>
      <w:proofErr w:type="gramStart"/>
      <w:r w:rsidR="007A491E" w:rsidRPr="007A491E">
        <w:rPr>
          <w:rFonts w:cs="Arial"/>
        </w:rPr>
        <w:t>in excess of</w:t>
      </w:r>
      <w:proofErr w:type="gramEnd"/>
      <w:r w:rsidR="007A491E" w:rsidRPr="007A491E">
        <w:rPr>
          <w:rFonts w:cs="Arial"/>
        </w:rPr>
        <w:t xml:space="preserve"> £1 million. </w:t>
      </w:r>
      <w:r w:rsidR="00CA1C92" w:rsidRPr="007A491E">
        <w:rPr>
          <w:rFonts w:cs="Arial"/>
        </w:rPr>
        <w:t xml:space="preserve">The caseload covers the full spectrum of </w:t>
      </w:r>
      <w:r w:rsidR="007A491E" w:rsidRPr="007A491E">
        <w:rPr>
          <w:rFonts w:cs="Arial"/>
        </w:rPr>
        <w:t xml:space="preserve">Private Client matters. </w:t>
      </w:r>
      <w:r w:rsidRPr="007A491E">
        <w:rPr>
          <w:rFonts w:cs="Arial"/>
        </w:rPr>
        <w:t>This includes</w:t>
      </w:r>
      <w:r w:rsidR="00CA1C92" w:rsidRPr="007A491E">
        <w:rPr>
          <w:rFonts w:cs="Arial"/>
        </w:rPr>
        <w:t xml:space="preserve"> </w:t>
      </w:r>
      <w:r w:rsidR="007A491E">
        <w:rPr>
          <w:rFonts w:cs="Arial"/>
        </w:rPr>
        <w:t xml:space="preserve">simple and complex Wills, Trust matters including living trusts, tax matters </w:t>
      </w:r>
      <w:r w:rsidR="00CA1C92" w:rsidRPr="007A491E">
        <w:rPr>
          <w:rFonts w:cs="Arial"/>
        </w:rPr>
        <w:t>and more.</w:t>
      </w:r>
    </w:p>
    <w:p w14:paraId="5D67EE77" w14:textId="7C7E5513" w:rsidR="001747FE" w:rsidRDefault="006D239D" w:rsidP="006E6D8A">
      <w:pPr>
        <w:jc w:val="both"/>
        <w:rPr>
          <w:rFonts w:cs="Arial"/>
        </w:rPr>
      </w:pPr>
      <w:r>
        <w:rPr>
          <w:rFonts w:cs="Arial"/>
        </w:rPr>
        <w:lastRenderedPageBreak/>
        <w:t>In addition to the</w:t>
      </w:r>
      <w:r w:rsidR="00CA1C92" w:rsidRPr="006D239D">
        <w:rPr>
          <w:rFonts w:cs="Arial"/>
        </w:rPr>
        <w:t xml:space="preserve"> broad-ranging caseload, the firm </w:t>
      </w:r>
      <w:r>
        <w:rPr>
          <w:rFonts w:cs="Arial"/>
        </w:rPr>
        <w:t xml:space="preserve">also </w:t>
      </w:r>
      <w:r w:rsidR="00CA1C92" w:rsidRPr="006D239D">
        <w:rPr>
          <w:rFonts w:cs="Arial"/>
        </w:rPr>
        <w:t>offers a great working environment</w:t>
      </w:r>
      <w:r>
        <w:rPr>
          <w:rFonts w:cs="Arial"/>
        </w:rPr>
        <w:t>.</w:t>
      </w:r>
      <w:r w:rsidR="00CA1C92" w:rsidRPr="006D239D">
        <w:rPr>
          <w:rFonts w:cs="Arial"/>
        </w:rPr>
        <w:t xml:space="preserve"> You will be working in a collaborative, friendly environment among people who will really support you. </w:t>
      </w:r>
      <w:r>
        <w:rPr>
          <w:rFonts w:cs="Arial"/>
        </w:rPr>
        <w:t>A</w:t>
      </w:r>
      <w:r w:rsidR="00CA1C92" w:rsidRPr="006D239D">
        <w:rPr>
          <w:rFonts w:cs="Arial"/>
        </w:rPr>
        <w:t xml:space="preserve"> genuine interest will be taken in your </w:t>
      </w:r>
      <w:r w:rsidR="00F9709B">
        <w:rPr>
          <w:rFonts w:cs="Arial"/>
        </w:rPr>
        <w:t xml:space="preserve">development and </w:t>
      </w:r>
      <w:r w:rsidR="00CA1C92" w:rsidRPr="006D239D">
        <w:rPr>
          <w:rFonts w:cs="Arial"/>
        </w:rPr>
        <w:t>career progression, meaning you can really establish yourself within this firm.</w:t>
      </w:r>
      <w:r w:rsidR="00044E31">
        <w:rPr>
          <w:rFonts w:cs="Arial"/>
        </w:rPr>
        <w:t xml:space="preserve">  </w:t>
      </w:r>
      <w:r>
        <w:rPr>
          <w:rFonts w:cs="Arial"/>
        </w:rPr>
        <w:t>Ideally the candidate should have solid experience in</w:t>
      </w:r>
      <w:r w:rsidR="00044E31">
        <w:rPr>
          <w:rFonts w:cs="Arial"/>
        </w:rPr>
        <w:t xml:space="preserve"> all areas of</w:t>
      </w:r>
      <w:r>
        <w:rPr>
          <w:rFonts w:cs="Arial"/>
        </w:rPr>
        <w:t xml:space="preserve"> </w:t>
      </w:r>
      <w:r w:rsidR="000D7B17">
        <w:rPr>
          <w:rFonts w:cs="Arial"/>
        </w:rPr>
        <w:t xml:space="preserve">Wills, Trusts and Probate </w:t>
      </w:r>
      <w:r w:rsidR="00CA1C92" w:rsidRPr="006D239D">
        <w:rPr>
          <w:rFonts w:cs="Arial"/>
        </w:rPr>
        <w:t xml:space="preserve">and a strong team ethic. </w:t>
      </w:r>
    </w:p>
    <w:p w14:paraId="7DDF7D68" w14:textId="77777777" w:rsidR="00F9709B" w:rsidRDefault="00F9709B" w:rsidP="00F9709B">
      <w:pPr>
        <w:spacing w:after="0" w:line="240" w:lineRule="auto"/>
        <w:jc w:val="both"/>
        <w:rPr>
          <w:rFonts w:cs="Arial"/>
          <w:b/>
          <w:bCs/>
        </w:rPr>
      </w:pPr>
      <w:r w:rsidRPr="00C21913">
        <w:rPr>
          <w:rFonts w:cs="Arial"/>
          <w:b/>
          <w:bCs/>
        </w:rPr>
        <w:t>Benefits</w:t>
      </w:r>
    </w:p>
    <w:p w14:paraId="01DAEEF4" w14:textId="77777777" w:rsidR="00F9709B" w:rsidRPr="00C21913" w:rsidRDefault="00F9709B" w:rsidP="00F9709B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470DB6F8" w14:textId="691BB3B3" w:rsidR="00F9709B" w:rsidRDefault="002C46A0" w:rsidP="00F97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F9709B">
        <w:rPr>
          <w:rFonts w:cs="Arial"/>
        </w:rPr>
        <w:t>alary based on experience</w:t>
      </w:r>
    </w:p>
    <w:p w14:paraId="74312800" w14:textId="77777777" w:rsidR="00F9709B" w:rsidRPr="002C46A0" w:rsidRDefault="00F9709B" w:rsidP="00F97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Annual Leave – 25 days + statutory holidays</w:t>
      </w:r>
    </w:p>
    <w:p w14:paraId="1CD88C07" w14:textId="77777777" w:rsidR="00F9709B" w:rsidRPr="002C46A0" w:rsidRDefault="00F9709B" w:rsidP="00F97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Pension scheme</w:t>
      </w:r>
    </w:p>
    <w:p w14:paraId="5E31CF96" w14:textId="77777777" w:rsidR="002C46A0" w:rsidRPr="002C46A0" w:rsidRDefault="00F9709B" w:rsidP="002C46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On-site parking</w:t>
      </w:r>
    </w:p>
    <w:p w14:paraId="7146F17E" w14:textId="31542DAB" w:rsidR="002C46A0" w:rsidRPr="009659A0" w:rsidRDefault="00F9709B" w:rsidP="009659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C46A0">
        <w:rPr>
          <w:rFonts w:cstheme="minorHAnsi"/>
        </w:rPr>
        <w:t>Remote working options</w:t>
      </w:r>
      <w:r w:rsidR="002C46A0" w:rsidRPr="002C46A0">
        <w:rPr>
          <w:rFonts w:eastAsia="Times New Roman" w:cstheme="minorHAnsi"/>
          <w:color w:val="000000"/>
          <w:highlight w:val="yellow"/>
          <w:lang w:val="en-US"/>
        </w:rPr>
        <w:t xml:space="preserve"> </w:t>
      </w:r>
    </w:p>
    <w:p w14:paraId="733EB9DD" w14:textId="49AB60F7" w:rsidR="00F9709B" w:rsidRPr="00C21913" w:rsidRDefault="00F9709B" w:rsidP="002C46A0">
      <w:pPr>
        <w:pStyle w:val="ListParagraph"/>
        <w:spacing w:after="0" w:line="240" w:lineRule="auto"/>
        <w:jc w:val="both"/>
        <w:rPr>
          <w:rFonts w:cs="Arial"/>
        </w:rPr>
      </w:pPr>
    </w:p>
    <w:p w14:paraId="1592B6E3" w14:textId="387ED50B" w:rsidR="00F9709B" w:rsidRDefault="00F9709B" w:rsidP="006E6D8A">
      <w:pPr>
        <w:jc w:val="both"/>
        <w:rPr>
          <w:rFonts w:cs="Arial"/>
        </w:rPr>
      </w:pPr>
    </w:p>
    <w:p w14:paraId="74BFD1C6" w14:textId="77777777" w:rsidR="00F9709B" w:rsidRPr="00EE1FCA" w:rsidRDefault="00F9709B" w:rsidP="006E6D8A">
      <w:pPr>
        <w:jc w:val="both"/>
        <w:rPr>
          <w:rFonts w:cs="Arial"/>
        </w:rPr>
      </w:pPr>
    </w:p>
    <w:sectPr w:rsidR="00F9709B" w:rsidRPr="00EE1FCA" w:rsidSect="00044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A81"/>
    <w:multiLevelType w:val="multilevel"/>
    <w:tmpl w:val="3DC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55B25"/>
    <w:multiLevelType w:val="hybridMultilevel"/>
    <w:tmpl w:val="C50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3DB4"/>
    <w:multiLevelType w:val="multilevel"/>
    <w:tmpl w:val="A74E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F5BAA"/>
    <w:multiLevelType w:val="multilevel"/>
    <w:tmpl w:val="BAF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D5A5F"/>
    <w:multiLevelType w:val="multilevel"/>
    <w:tmpl w:val="5EB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40A3B"/>
    <w:multiLevelType w:val="hybridMultilevel"/>
    <w:tmpl w:val="5EA4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98407">
    <w:abstractNumId w:val="4"/>
  </w:num>
  <w:num w:numId="2" w16cid:durableId="680090704">
    <w:abstractNumId w:val="3"/>
  </w:num>
  <w:num w:numId="3" w16cid:durableId="1209996961">
    <w:abstractNumId w:val="5"/>
  </w:num>
  <w:num w:numId="4" w16cid:durableId="369569003">
    <w:abstractNumId w:val="0"/>
  </w:num>
  <w:num w:numId="5" w16cid:durableId="1963417714">
    <w:abstractNumId w:val="1"/>
  </w:num>
  <w:num w:numId="6" w16cid:durableId="106109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BF"/>
    <w:rsid w:val="00044E31"/>
    <w:rsid w:val="0007538B"/>
    <w:rsid w:val="00097A7F"/>
    <w:rsid w:val="000D7B17"/>
    <w:rsid w:val="00100554"/>
    <w:rsid w:val="001747FE"/>
    <w:rsid w:val="001B4066"/>
    <w:rsid w:val="001C74B3"/>
    <w:rsid w:val="002551A4"/>
    <w:rsid w:val="0026740A"/>
    <w:rsid w:val="002C46A0"/>
    <w:rsid w:val="003107B9"/>
    <w:rsid w:val="004C32F5"/>
    <w:rsid w:val="005837BF"/>
    <w:rsid w:val="006D239D"/>
    <w:rsid w:val="006E6D8A"/>
    <w:rsid w:val="00722F5D"/>
    <w:rsid w:val="007A491E"/>
    <w:rsid w:val="0086713D"/>
    <w:rsid w:val="009659A0"/>
    <w:rsid w:val="00985135"/>
    <w:rsid w:val="00C81516"/>
    <w:rsid w:val="00CA1C92"/>
    <w:rsid w:val="00CF3A89"/>
    <w:rsid w:val="00E577E9"/>
    <w:rsid w:val="00EE1FCA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EE5E"/>
  <w15:chartTrackingRefBased/>
  <w15:docId w15:val="{9A0FEF31-7075-46CE-B243-9AD3959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37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3" ma:contentTypeDescription="Create a new document." ma:contentTypeScope="" ma:versionID="da97bd7e4b1abbf197df9477e95c11ee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3164cc76ccefd938e0f4ca158059485e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4E40D-B946-44F6-A00B-4D0A742B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0b1-fbfa-4438-b604-40e4e129fbb1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02FE7-50FC-4A29-8783-7778813A7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D8E0F-1EB4-440E-AD83-2F5593190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4B924-822F-4D90-BD3D-AFDADCFCFB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Parascandolo</dc:creator>
  <cp:keywords/>
  <dc:description/>
  <cp:lastModifiedBy>Garry Shuttleworth</cp:lastModifiedBy>
  <cp:revision>2</cp:revision>
  <cp:lastPrinted>2018-08-10T13:35:00Z</cp:lastPrinted>
  <dcterms:created xsi:type="dcterms:W3CDTF">2022-05-11T14:11:00Z</dcterms:created>
  <dcterms:modified xsi:type="dcterms:W3CDTF">2022-05-11T14:11:00Z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